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276D" w14:textId="77777777" w:rsidR="00060715" w:rsidRDefault="006771E5">
      <w:pPr>
        <w:spacing w:after="0" w:line="240" w:lineRule="auto"/>
        <w:jc w:val="center"/>
        <w:rPr>
          <w:b/>
        </w:rPr>
      </w:pPr>
      <w:bookmarkStart w:id="0" w:name="_GoBack"/>
      <w:bookmarkEnd w:id="0"/>
      <w:r>
        <w:rPr>
          <w:noProof/>
        </w:rPr>
        <w:drawing>
          <wp:anchor distT="0" distB="0" distL="0" distR="0" simplePos="0" relativeHeight="2" behindDoc="0" locked="0" layoutInCell="1" allowOverlap="1" wp14:anchorId="54AFDA6D" wp14:editId="795B6960">
            <wp:simplePos x="0" y="0"/>
            <wp:positionH relativeFrom="column">
              <wp:posOffset>5156835</wp:posOffset>
            </wp:positionH>
            <wp:positionV relativeFrom="paragraph">
              <wp:posOffset>-563880</wp:posOffset>
            </wp:positionV>
            <wp:extent cx="1024255" cy="1090930"/>
            <wp:effectExtent l="0" t="0" r="0" b="0"/>
            <wp:wrapNone/>
            <wp:docPr id="1"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Icon&#10;&#10;Description automatically generated"/>
                    <pic:cNvPicPr>
                      <a:picLocks noChangeAspect="1" noChangeArrowheads="1"/>
                    </pic:cNvPicPr>
                  </pic:nvPicPr>
                  <pic:blipFill>
                    <a:blip r:embed="rId8"/>
                    <a:stretch>
                      <a:fillRect/>
                    </a:stretch>
                  </pic:blipFill>
                  <pic:spPr bwMode="auto">
                    <a:xfrm>
                      <a:off x="0" y="0"/>
                      <a:ext cx="1024255" cy="1090930"/>
                    </a:xfrm>
                    <a:prstGeom prst="rect">
                      <a:avLst/>
                    </a:prstGeom>
                  </pic:spPr>
                </pic:pic>
              </a:graphicData>
            </a:graphic>
          </wp:anchor>
        </w:drawing>
      </w:r>
      <w:r>
        <w:rPr>
          <w:b/>
        </w:rPr>
        <w:t>SPIRIT-DEFINE AND CONSORT-DEFINE</w:t>
      </w:r>
    </w:p>
    <w:p w14:paraId="2B3B5CD6" w14:textId="192B4EC6" w:rsidR="00060715" w:rsidRDefault="006771E5">
      <w:pPr>
        <w:spacing w:after="0" w:line="240" w:lineRule="auto"/>
        <w:jc w:val="center"/>
        <w:rPr>
          <w:bCs/>
        </w:rPr>
      </w:pPr>
      <w:r>
        <w:rPr>
          <w:b/>
        </w:rPr>
        <w:t xml:space="preserve">Feedback on Round </w:t>
      </w:r>
      <w:r w:rsidR="000220C9">
        <w:rPr>
          <w:b/>
        </w:rPr>
        <w:t xml:space="preserve">One </w:t>
      </w:r>
      <w:r>
        <w:rPr>
          <w:b/>
        </w:rPr>
        <w:t>of Delphi Survey</w:t>
      </w:r>
    </w:p>
    <w:p w14:paraId="1F654839" w14:textId="77777777" w:rsidR="00060715" w:rsidRDefault="00060715">
      <w:pPr>
        <w:spacing w:after="0" w:line="240" w:lineRule="auto"/>
        <w:jc w:val="both"/>
        <w:rPr>
          <w:bCs/>
        </w:rPr>
      </w:pPr>
    </w:p>
    <w:p w14:paraId="0B907B51" w14:textId="77777777" w:rsidR="00060715" w:rsidRDefault="00060715">
      <w:pPr>
        <w:spacing w:after="0" w:line="240" w:lineRule="auto"/>
        <w:jc w:val="both"/>
        <w:rPr>
          <w:bCs/>
        </w:rPr>
      </w:pPr>
    </w:p>
    <w:p w14:paraId="40D78647" w14:textId="2D79BB67" w:rsidR="00060715" w:rsidRDefault="006771E5">
      <w:pPr>
        <w:jc w:val="both"/>
      </w:pPr>
      <w:r>
        <w:t xml:space="preserve">In Round </w:t>
      </w:r>
      <w:r w:rsidR="000220C9">
        <w:t xml:space="preserve">One </w:t>
      </w:r>
      <w:r>
        <w:t>of the DEFINE Delphi survey we received 44 suggestions regarding adding new items, 17 general comments and 290 comments on specific items.</w:t>
      </w:r>
    </w:p>
    <w:p w14:paraId="27471FF2" w14:textId="77777777" w:rsidR="00060715" w:rsidRDefault="006771E5">
      <w:pPr>
        <w:jc w:val="both"/>
        <w:rPr>
          <w:b/>
          <w:bCs/>
          <w:color w:val="2F5496" w:themeColor="accent1" w:themeShade="BF"/>
          <w:u w:val="single"/>
        </w:rPr>
      </w:pPr>
      <w:r>
        <w:rPr>
          <w:b/>
          <w:bCs/>
          <w:color w:val="2F5496" w:themeColor="accent1" w:themeShade="BF"/>
          <w:u w:val="single"/>
        </w:rPr>
        <w:t>Addition of new items</w:t>
      </w:r>
    </w:p>
    <w:p w14:paraId="6EA14BB2" w14:textId="6BF18E1F" w:rsidR="00060715" w:rsidRDefault="006771E5">
      <w:pPr>
        <w:jc w:val="both"/>
      </w:pPr>
      <w:r>
        <w:t xml:space="preserve">The DEFINE Executive Committee carefully considered all suggestions regarding adding new items into the checklists and decided to add one new item </w:t>
      </w:r>
      <w:r w:rsidR="000220C9">
        <w:t xml:space="preserve">(n = 1 item) </w:t>
      </w:r>
      <w:r>
        <w:t xml:space="preserve">into Round </w:t>
      </w:r>
      <w:r w:rsidR="000220C9">
        <w:t>Two</w:t>
      </w:r>
      <w:r>
        <w:t>: “Access (or link to) code/functions used for simulation studies”. Other suggested items were either already covered by existing items or the main SPIRIT 2013/CONSORT 2010 statements (n = 14</w:t>
      </w:r>
      <w:r w:rsidR="000220C9">
        <w:t xml:space="preserve"> items</w:t>
      </w:r>
      <w:r>
        <w:t>), or are not specific for early-phase dose-finding trials and therefore more applicable to updates to the main SPIRIT/CONSORT statements (n = 14</w:t>
      </w:r>
      <w:r w:rsidR="000220C9">
        <w:t xml:space="preserve"> items</w:t>
      </w:r>
      <w:r>
        <w:t>), or can be addressed as modification of the existing items (n = 12</w:t>
      </w:r>
      <w:r w:rsidR="000220C9">
        <w:t xml:space="preserve"> items</w:t>
      </w:r>
      <w:r>
        <w:t>), or were rather general comments (n = 3</w:t>
      </w:r>
      <w:r w:rsidR="000220C9">
        <w:t xml:space="preserve"> items</w:t>
      </w:r>
      <w:r>
        <w:t xml:space="preserve">). </w:t>
      </w:r>
    </w:p>
    <w:p w14:paraId="3CE1E220" w14:textId="77777777" w:rsidR="00060715" w:rsidRDefault="006771E5">
      <w:pPr>
        <w:jc w:val="both"/>
        <w:rPr>
          <w:b/>
          <w:bCs/>
          <w:color w:val="2F5496" w:themeColor="accent1" w:themeShade="BF"/>
          <w:u w:val="single"/>
        </w:rPr>
      </w:pPr>
      <w:r>
        <w:rPr>
          <w:b/>
          <w:bCs/>
          <w:color w:val="2F5496" w:themeColor="accent1" w:themeShade="BF"/>
          <w:u w:val="single"/>
        </w:rPr>
        <w:t>Comments on specific items</w:t>
      </w:r>
    </w:p>
    <w:p w14:paraId="40ACC635" w14:textId="74D2F086" w:rsidR="00060715" w:rsidRDefault="006771E5">
      <w:pPr>
        <w:jc w:val="both"/>
      </w:pPr>
      <w:r>
        <w:t xml:space="preserve">All 290 comments on items were reviewed internally and with the DEFINE Executive Committee. In total, we modified </w:t>
      </w:r>
      <w:r w:rsidR="00031565">
        <w:t>29</w:t>
      </w:r>
      <w:r>
        <w:t xml:space="preserve"> items, either in the item wording or within the helping text. In the Delphi survey, such items are marked with a *-sign.</w:t>
      </w:r>
    </w:p>
    <w:p w14:paraId="3F3CBE43" w14:textId="63022EF8" w:rsidR="00060715" w:rsidRDefault="006771E5">
      <w:pPr>
        <w:jc w:val="both"/>
      </w:pPr>
      <w:r>
        <w:t xml:space="preserve">Here, we would like to highlight those items that would benefit from further clarification and are most </w:t>
      </w:r>
      <w:r w:rsidR="006F2C58">
        <w:t>commented</w:t>
      </w:r>
      <w:r>
        <w:t>, and our feedback.</w:t>
      </w:r>
    </w:p>
    <w:p w14:paraId="185BF678" w14:textId="77777777" w:rsidR="00060715" w:rsidRDefault="006771E5">
      <w:pPr>
        <w:jc w:val="both"/>
      </w:pPr>
      <w:r>
        <w:rPr>
          <w:b/>
          <w:bCs/>
        </w:rPr>
        <w:t>Patient and Public Involvement (PPI)</w:t>
      </w:r>
      <w:r>
        <w:t>. “Patient advocate” is the more commonly used term rather than PPI in some countries (e.g., USA). We have modified this item and the helping text for clarity. There was a suggestion that patient partners involvement may not be on the treatment itself but on the ethical side especially on the burden to the participants, the administration, etc.</w:t>
      </w:r>
    </w:p>
    <w:p w14:paraId="1B0B232D" w14:textId="65D0C997" w:rsidR="00060715" w:rsidRDefault="006771E5">
      <w:pPr>
        <w:jc w:val="both"/>
      </w:pPr>
      <w:r>
        <w:rPr>
          <w:b/>
          <w:bCs/>
        </w:rPr>
        <w:t>Lay summary</w:t>
      </w:r>
      <w:r>
        <w:t xml:space="preserve">. We have reworded this item to improve clarity in Round </w:t>
      </w:r>
      <w:r w:rsidR="000220C9">
        <w:t>Two</w:t>
      </w:r>
      <w:r>
        <w:t>: “Lay summary of the trial synopsis” for SPIRIT-DEFINE and “Lay summary of the results” for CONSORT-DEFINE.</w:t>
      </w:r>
    </w:p>
    <w:p w14:paraId="15513710" w14:textId="15D29C78" w:rsidR="00060715" w:rsidRDefault="006771E5">
      <w:pPr>
        <w:jc w:val="both"/>
      </w:pPr>
      <w:r>
        <w:rPr>
          <w:b/>
          <w:bCs/>
        </w:rPr>
        <w:t>Estimand Framework</w:t>
      </w:r>
      <w:r>
        <w:t>. We are aware that clinical trials are adopting the Estimand Framework following the ICH E9(R1) addendum and have considered this when we generated our candidate items. As the Estimand Framework is not specific for dose-finding trials, the inclusion of this framework is more applicable to updates to the main SPIRIT/CONSORT statements. We have referred this to the main SPIRIT/CONSORT group to consider in their next update. We have</w:t>
      </w:r>
      <w:r w:rsidR="006F2C58">
        <w:t>,</w:t>
      </w:r>
      <w:r>
        <w:t xml:space="preserve"> however</w:t>
      </w:r>
      <w:r w:rsidR="006F2C58">
        <w:t>,</w:t>
      </w:r>
      <w:r>
        <w:t xml:space="preserve"> purposefully ensured our existing candidate items include all information on attributes that are required to utilise the Estimand Framework, and will provide illustrative examples in our guidance within the Explanation and Elaboration (E&amp;E) document.</w:t>
      </w:r>
      <w:r w:rsidR="006F2C58" w:rsidRPr="006F2C58">
        <w:t xml:space="preserve"> </w:t>
      </w:r>
      <w:r w:rsidR="006F2C58">
        <w:t xml:space="preserve">It is our </w:t>
      </w:r>
      <w:r w:rsidR="006F2C58" w:rsidRPr="006F2C58">
        <w:t xml:space="preserve">intention to update </w:t>
      </w:r>
      <w:r w:rsidR="00FF0878">
        <w:t>SPIRIT/CONSORT-DEFINE</w:t>
      </w:r>
      <w:r w:rsidR="006F2C58" w:rsidRPr="006F2C58">
        <w:t xml:space="preserve"> guidelines once the main guidance is updated</w:t>
      </w:r>
      <w:r w:rsidR="00FF0878">
        <w:t>.</w:t>
      </w:r>
    </w:p>
    <w:p w14:paraId="67BA1FC0" w14:textId="77777777" w:rsidR="00060715" w:rsidRDefault="006771E5">
      <w:pPr>
        <w:jc w:val="both"/>
      </w:pPr>
      <w:r>
        <w:rPr>
          <w:b/>
          <w:bCs/>
        </w:rPr>
        <w:t>Confidentiality</w:t>
      </w:r>
      <w:r>
        <w:t>. There was a very helpful comment that in rare disease trials, individuals may be easily identifiable if baseline data are summarised per dose per group. Thus, we modified this item and the accompanying help text to reflect this.</w:t>
      </w:r>
    </w:p>
    <w:p w14:paraId="6A60F8C4" w14:textId="77777777" w:rsidR="00060715" w:rsidRDefault="006771E5">
      <w:pPr>
        <w:jc w:val="both"/>
      </w:pPr>
      <w:r>
        <w:rPr>
          <w:b/>
          <w:bCs/>
        </w:rPr>
        <w:t>Skipping of dose level</w:t>
      </w:r>
      <w:r>
        <w:t xml:space="preserve">. This item was modified for clarity that it is only applicable in settings where there are pre-defined dose levels, where doses could be skipped, e.g., from dose level 3 to 5. </w:t>
      </w:r>
    </w:p>
    <w:p w14:paraId="25346640" w14:textId="23BC5BF1" w:rsidR="00060715" w:rsidRDefault="006771E5">
      <w:pPr>
        <w:jc w:val="both"/>
      </w:pPr>
      <w:r>
        <w:rPr>
          <w:b/>
          <w:bCs/>
        </w:rPr>
        <w:t>Dose transition pathways (DTP)</w:t>
      </w:r>
      <w:r>
        <w:t xml:space="preserve">. </w:t>
      </w:r>
      <w:r w:rsidR="00586309" w:rsidRPr="00586309">
        <w:t xml:space="preserve">This can take the form of a flow table or a flow diagram to map out in advance how a proposed design would recommend doses (escalate, de-escalate, stay or stop) based on participants’ key outcomes (e.g., if we observe no significant adverse events in 2 participants, we will escalate to the next </w:t>
      </w:r>
      <w:r w:rsidR="00586309" w:rsidRPr="00586309">
        <w:lastRenderedPageBreak/>
        <w:t>higher dose but if both participants experience significant adverse events, we will de-escalate etc). Depending on the design used, it may sometimes only be feasible to project in advance the first few patients/cohorts.</w:t>
      </w:r>
    </w:p>
    <w:p w14:paraId="66436011" w14:textId="77777777" w:rsidR="00060715" w:rsidRDefault="006771E5">
      <w:pPr>
        <w:jc w:val="both"/>
        <w:rPr>
          <w:b/>
          <w:bCs/>
          <w:color w:val="2F5496" w:themeColor="accent1" w:themeShade="BF"/>
          <w:u w:val="single"/>
        </w:rPr>
      </w:pPr>
      <w:r>
        <w:rPr>
          <w:b/>
          <w:bCs/>
          <w:color w:val="2F5496" w:themeColor="accent1" w:themeShade="BF"/>
          <w:u w:val="single"/>
        </w:rPr>
        <w:t>General Comments</w:t>
      </w:r>
    </w:p>
    <w:p w14:paraId="41C95C92" w14:textId="4165F5BC" w:rsidR="00060715" w:rsidRDefault="006771E5">
      <w:pPr>
        <w:pStyle w:val="ListParagraph"/>
        <w:numPr>
          <w:ilvl w:val="0"/>
          <w:numId w:val="2"/>
        </w:numPr>
        <w:jc w:val="both"/>
      </w:pPr>
      <w:r>
        <w:rPr>
          <w:noProof/>
        </w:rPr>
        <mc:AlternateContent>
          <mc:Choice Requires="wps">
            <w:drawing>
              <wp:anchor distT="0" distB="0" distL="114300" distR="114300" simplePos="0" relativeHeight="4" behindDoc="0" locked="0" layoutInCell="1" allowOverlap="1" wp14:anchorId="42E689A7" wp14:editId="213B9639">
                <wp:simplePos x="0" y="0"/>
                <wp:positionH relativeFrom="margin">
                  <wp:align>center</wp:align>
                </wp:positionH>
                <wp:positionV relativeFrom="paragraph">
                  <wp:posOffset>2064385</wp:posOffset>
                </wp:positionV>
                <wp:extent cx="5725160" cy="2840355"/>
                <wp:effectExtent l="0" t="0" r="28575" b="17780"/>
                <wp:wrapTopAndBottom/>
                <wp:docPr id="2" name="Text Box 10"/>
                <wp:cNvGraphicFramePr/>
                <a:graphic xmlns:a="http://schemas.openxmlformats.org/drawingml/2006/main">
                  <a:graphicData uri="http://schemas.microsoft.com/office/word/2010/wordprocessingShape">
                    <wps:wsp>
                      <wps:cNvSpPr/>
                      <wps:spPr>
                        <a:xfrm>
                          <a:off x="0" y="0"/>
                          <a:ext cx="5724360" cy="2839680"/>
                        </a:xfrm>
                        <a:prstGeom prst="rect">
                          <a:avLst/>
                        </a:prstGeom>
                        <a:solidFill>
                          <a:schemeClr val="bg1">
                            <a:lumMod val="95000"/>
                          </a:schemeClr>
                        </a:solidFill>
                        <a:ln w="6480">
                          <a:solidFill>
                            <a:srgbClr val="000000"/>
                          </a:solidFill>
                          <a:round/>
                        </a:ln>
                      </wps:spPr>
                      <wps:style>
                        <a:lnRef idx="0">
                          <a:scrgbClr r="0" g="0" b="0"/>
                        </a:lnRef>
                        <a:fillRef idx="0">
                          <a:scrgbClr r="0" g="0" b="0"/>
                        </a:fillRef>
                        <a:effectRef idx="0">
                          <a:scrgbClr r="0" g="0" b="0"/>
                        </a:effectRef>
                        <a:fontRef idx="minor"/>
                      </wps:style>
                      <wps:txbx>
                        <w:txbxContent>
                          <w:p w14:paraId="5B2CF7F6" w14:textId="77777777" w:rsidR="00060715" w:rsidRDefault="006771E5">
                            <w:pPr>
                              <w:pStyle w:val="FrameContents"/>
                              <w:rPr>
                                <w:b/>
                                <w:bCs/>
                              </w:rPr>
                            </w:pPr>
                            <w:r>
                              <w:rPr>
                                <w:b/>
                                <w:bCs/>
                              </w:rPr>
                              <w:t>SPIRIT-DEFINE and CONSORT-DEFINE scope</w:t>
                            </w:r>
                          </w:p>
                          <w:p w14:paraId="673177AD" w14:textId="77777777" w:rsidR="00060715" w:rsidRDefault="006771E5">
                            <w:pPr>
                              <w:pStyle w:val="FrameContents"/>
                              <w:jc w:val="both"/>
                            </w:pPr>
                            <w:r>
                              <w:t>Our focus is on early phase clinical trials (typically referred to as Phase I with or without dose expansion cohorts or Phase I/II), where interim dose-decisions are taken using accumulating trial data to either escalate, de-escalate, stay at the current level or stop a trial early. The dose assignment decisions could be based on safety, pharmacokinetic, pharmacodynamic or biological markers or a combination of these parameters.</w:t>
                            </w:r>
                          </w:p>
                          <w:p w14:paraId="6FC9037B" w14:textId="77777777" w:rsidR="00060715" w:rsidRDefault="006771E5">
                            <w:pPr>
                              <w:pStyle w:val="FrameContents"/>
                              <w:jc w:val="both"/>
                            </w:pPr>
                            <w:r>
                              <w:t>The guidance applies to all early phase dose-escalation (or de-escalation) clinical trials where more than one ascending (or descending) dosing regimens are investigated sequentially. This could be:</w:t>
                            </w:r>
                          </w:p>
                          <w:p w14:paraId="0D978B82" w14:textId="77777777" w:rsidR="00060715" w:rsidRDefault="006771E5">
                            <w:pPr>
                              <w:pStyle w:val="ListParagraph"/>
                              <w:numPr>
                                <w:ilvl w:val="0"/>
                                <w:numId w:val="1"/>
                              </w:numPr>
                              <w:jc w:val="both"/>
                            </w:pPr>
                            <w:r>
                              <w:t>intra-participant escalation (where doses are increased sequentially over time within a participant),</w:t>
                            </w:r>
                          </w:p>
                          <w:p w14:paraId="09CFBD97" w14:textId="77777777" w:rsidR="00060715" w:rsidRDefault="006771E5">
                            <w:pPr>
                              <w:pStyle w:val="ListParagraph"/>
                              <w:numPr>
                                <w:ilvl w:val="0"/>
                                <w:numId w:val="1"/>
                              </w:numPr>
                              <w:jc w:val="both"/>
                            </w:pPr>
                            <w:r>
                              <w:t>inter-participant escalation (where each participant is allocated a specific dose and doses are increased sequentially over time for subsequent participants),</w:t>
                            </w:r>
                          </w:p>
                          <w:p w14:paraId="01A908A6" w14:textId="77777777" w:rsidR="00060715" w:rsidRDefault="006771E5">
                            <w:pPr>
                              <w:pStyle w:val="ListParagraph"/>
                              <w:numPr>
                                <w:ilvl w:val="0"/>
                                <w:numId w:val="1"/>
                              </w:numPr>
                              <w:jc w:val="both"/>
                            </w:pPr>
                            <w:r>
                              <w:t>or both.</w:t>
                            </w:r>
                          </w:p>
                          <w:p w14:paraId="4CBD8406" w14:textId="77777777" w:rsidR="00060715" w:rsidRDefault="00060715">
                            <w:pPr>
                              <w:pStyle w:val="FrameContents"/>
                            </w:pPr>
                          </w:p>
                        </w:txbxContent>
                      </wps:txbx>
                      <wps:bodyPr>
                        <a:noAutofit/>
                      </wps:bodyPr>
                    </wps:wsp>
                  </a:graphicData>
                </a:graphic>
              </wp:anchor>
            </w:drawing>
          </mc:Choice>
          <mc:Fallback>
            <w:pict>
              <v:rect w14:anchorId="42E689A7" id="Text Box 10" o:spid="_x0000_s1026" style="position:absolute;left:0;text-align:left;margin-left:0;margin-top:162.55pt;width:450.8pt;height:223.65pt;z-index: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" fillcolor="#f2f2f2 [3052]" strokeweight=".18mm">
                <v:stroke joinstyle="round"/>
                <v:textbox>
                  <w:txbxContent>
                    <w:p w14:paraId="5B2CF7F6" w14:textId="77777777" w:rsidR="00060715" w:rsidRDefault="006771E5">
                      <w:pPr>
                        <w:pStyle w:val="FrameContents"/>
                        <w:rPr>
                          <w:b/>
                          <w:bCs/>
                        </w:rPr>
                      </w:pPr>
                      <w:r>
                        <w:rPr>
                          <w:b/>
                          <w:bCs/>
                        </w:rPr>
                        <w:t>SPIRIT-DEFINE and CONSORT-DEFINE scope</w:t>
                      </w:r>
                    </w:p>
                    <w:p w14:paraId="673177AD" w14:textId="77777777" w:rsidR="00060715" w:rsidRDefault="006771E5">
                      <w:pPr>
                        <w:pStyle w:val="FrameContents"/>
                        <w:jc w:val="both"/>
                      </w:pPr>
                      <w:r>
                        <w:t>Our focus is on early phase clinical trials (typically referred to as Phase I with or without dose expansion cohorts or Phase I/II), where interim dose-decisions are taken using accumulating trial data to either escalate, de-escalate, stay at the current level or stop a trial early. The dose assignment decisions could be based on safety, pharmacokinetic, pharmacodynamic or biological markers or a combination of these parameters.</w:t>
                      </w:r>
                    </w:p>
                    <w:p w14:paraId="6FC9037B" w14:textId="77777777" w:rsidR="00060715" w:rsidRDefault="006771E5">
                      <w:pPr>
                        <w:pStyle w:val="FrameContents"/>
                        <w:jc w:val="both"/>
                      </w:pPr>
                      <w:r>
                        <w:t>The guidance applies to all early phase dose-escalation (or de-escalation) clinical trials where more than one ascending (or descending) dosing regimens are investigated sequentially. This could be:</w:t>
                      </w:r>
                    </w:p>
                    <w:p w14:paraId="0D978B82" w14:textId="77777777" w:rsidR="00060715" w:rsidRDefault="006771E5">
                      <w:pPr>
                        <w:pStyle w:val="ListParagraph"/>
                        <w:numPr>
                          <w:ilvl w:val="0"/>
                          <w:numId w:val="1"/>
                        </w:numPr>
                        <w:jc w:val="both"/>
                      </w:pPr>
                      <w:r>
                        <w:t>intra-participant escalation (where doses are increased sequentially over time within a participant),</w:t>
                      </w:r>
                    </w:p>
                    <w:p w14:paraId="09CFBD97" w14:textId="77777777" w:rsidR="00060715" w:rsidRDefault="006771E5">
                      <w:pPr>
                        <w:pStyle w:val="ListParagraph"/>
                        <w:numPr>
                          <w:ilvl w:val="0"/>
                          <w:numId w:val="1"/>
                        </w:numPr>
                        <w:jc w:val="both"/>
                      </w:pPr>
                      <w:r>
                        <w:t>inter-participant escalation (where each participant is allocated a specific dose and doses are increased sequentially over time for subsequent participants),</w:t>
                      </w:r>
                    </w:p>
                    <w:p w14:paraId="01A908A6" w14:textId="77777777" w:rsidR="00060715" w:rsidRDefault="006771E5">
                      <w:pPr>
                        <w:pStyle w:val="ListParagraph"/>
                        <w:numPr>
                          <w:ilvl w:val="0"/>
                          <w:numId w:val="1"/>
                        </w:numPr>
                        <w:jc w:val="both"/>
                      </w:pPr>
                      <w:r>
                        <w:t>or both.</w:t>
                      </w:r>
                    </w:p>
                    <w:p w14:paraId="4CBD8406" w14:textId="77777777" w:rsidR="00060715" w:rsidRDefault="00060715">
                      <w:pPr>
                        <w:pStyle w:val="FrameContents"/>
                      </w:pPr>
                    </w:p>
                  </w:txbxContent>
                </v:textbox>
                <w10:wrap type="topAndBottom" anchorx="margin"/>
              </v:rect>
            </w:pict>
          </mc:Fallback>
        </mc:AlternateContent>
      </w:r>
      <w:r>
        <w:t xml:space="preserve">Three (1.5%) respondents shared their concerns that several items are oncology-focused and cannot be utilised for non-oncology or healthy volunteers trials. Based on the feedback, we have reworded a few items to ensure we improved the applicability to those settings. Our scope covers all early-phase trials with dose escalation or de-escalation components with safety being a key objective (see below). It includes dose-escalation oncology trials, as well as non-oncology and healthy volunteers trials with typical randomised, placebo-controlled designs involving single ascending doses, multiple ascending doses, with or without crossover. If you are involved in healthy volunteer trials or non-oncology trials and have suggestions on how wording of any items can be further improved to aid the applicability to those settings, please get in touch via </w:t>
      </w:r>
      <w:hyperlink r:id="rId9">
        <w:r>
          <w:rPr>
            <w:rStyle w:val="Hyperlink"/>
          </w:rPr>
          <w:t>define-icrctsu@icr.ac.uk</w:t>
        </w:r>
      </w:hyperlink>
      <w:r>
        <w:t xml:space="preserve"> or leave your comments/suggestions within Round </w:t>
      </w:r>
      <w:r w:rsidR="000220C9">
        <w:t xml:space="preserve">Two </w:t>
      </w:r>
      <w:r>
        <w:t xml:space="preserve">of the survey. </w:t>
      </w:r>
    </w:p>
    <w:p w14:paraId="003DA931" w14:textId="3A860A91" w:rsidR="006771E5" w:rsidRDefault="006771E5" w:rsidP="006771E5">
      <w:pPr>
        <w:pStyle w:val="ListParagraph"/>
        <w:jc w:val="both"/>
      </w:pPr>
    </w:p>
    <w:p w14:paraId="43503744" w14:textId="77777777" w:rsidR="006771E5" w:rsidRDefault="006771E5" w:rsidP="006E4700">
      <w:pPr>
        <w:pStyle w:val="ListParagraph"/>
        <w:jc w:val="both"/>
      </w:pPr>
    </w:p>
    <w:p w14:paraId="64F11232" w14:textId="208457FC" w:rsidR="00060715" w:rsidRDefault="006771E5">
      <w:pPr>
        <w:pStyle w:val="ListParagraph"/>
        <w:numPr>
          <w:ilvl w:val="0"/>
          <w:numId w:val="2"/>
        </w:numPr>
        <w:jc w:val="both"/>
      </w:pPr>
      <w:r>
        <w:t xml:space="preserve">Another general comment: “oncology phase 1 trials should not define a phase 2 dose, but only a range of doses”. </w:t>
      </w:r>
      <w:r w:rsidR="003A3565" w:rsidRPr="003A3565">
        <w:t>We have intentionally kept our items broad to allow for the flexibility to define a dose or a range of doses for further evaluation, depending on the trial’s objectives.</w:t>
      </w:r>
    </w:p>
    <w:p w14:paraId="0F53FB1B" w14:textId="77777777" w:rsidR="00060715" w:rsidRDefault="006771E5">
      <w:pPr>
        <w:jc w:val="both"/>
      </w:pPr>
      <w:r>
        <w:t>For additional information, please contact the Principal Investigator Professor Christina Yap (</w:t>
      </w:r>
      <w:hyperlink r:id="rId10">
        <w:r>
          <w:rPr>
            <w:rStyle w:val="Hyperlink"/>
          </w:rPr>
          <w:t>Christina.Yap@icr.ac.uk</w:t>
        </w:r>
      </w:hyperlink>
      <w:r>
        <w:t>) or Project Manager Ms Aude Espinasse (</w:t>
      </w:r>
      <w:hyperlink r:id="rId11">
        <w:r>
          <w:rPr>
            <w:rStyle w:val="Hyperlink"/>
          </w:rPr>
          <w:t>DEFINE-icrctsu@icr.ac.uk</w:t>
        </w:r>
      </w:hyperlink>
      <w:r>
        <w:t>).</w:t>
      </w:r>
    </w:p>
    <w:p w14:paraId="23D506B7" w14:textId="10302D26" w:rsidR="00060715" w:rsidRDefault="006771E5">
      <w:pPr>
        <w:jc w:val="both"/>
      </w:pPr>
      <w:r>
        <w:t xml:space="preserve">We would like to take this opportunity to thank everyone again who participated, and who suggested amendments and additional items during Round </w:t>
      </w:r>
      <w:r w:rsidR="000220C9">
        <w:t>One</w:t>
      </w:r>
      <w:r>
        <w:t>. We sincerely appreciate your contribution.</w:t>
      </w:r>
    </w:p>
    <w:p w14:paraId="3E6F4E08" w14:textId="77777777" w:rsidR="00060715" w:rsidRDefault="006771E5">
      <w:pPr>
        <w:jc w:val="both"/>
      </w:pPr>
      <w:r>
        <w:t xml:space="preserve"> </w:t>
      </w:r>
    </w:p>
    <w:tbl>
      <w:tblPr>
        <w:tblStyle w:val="TableGrid"/>
        <w:tblW w:w="9016" w:type="dxa"/>
        <w:tblLook w:val="04A0" w:firstRow="1" w:lastRow="0" w:firstColumn="1" w:lastColumn="0" w:noHBand="0" w:noVBand="1"/>
      </w:tblPr>
      <w:tblGrid>
        <w:gridCol w:w="4105"/>
        <w:gridCol w:w="4911"/>
      </w:tblGrid>
      <w:tr w:rsidR="00060715" w14:paraId="437C7997" w14:textId="77777777">
        <w:tc>
          <w:tcPr>
            <w:tcW w:w="4105" w:type="dxa"/>
            <w:tcBorders>
              <w:top w:val="nil"/>
              <w:left w:val="nil"/>
              <w:bottom w:val="nil"/>
              <w:right w:val="nil"/>
            </w:tcBorders>
          </w:tcPr>
          <w:p w14:paraId="4F11618C" w14:textId="77777777" w:rsidR="00060715" w:rsidRDefault="006771E5">
            <w:pPr>
              <w:spacing w:after="0" w:line="240" w:lineRule="auto"/>
              <w:jc w:val="both"/>
            </w:pPr>
            <w:r>
              <w:rPr>
                <w:noProof/>
              </w:rPr>
              <mc:AlternateContent>
                <mc:Choice Requires="wpg">
                  <w:drawing>
                    <wp:anchor distT="0" distB="0" distL="114300" distR="114300" simplePos="0" relativeHeight="3" behindDoc="0" locked="0" layoutInCell="1" allowOverlap="1" wp14:anchorId="05FED849" wp14:editId="1CBC1840">
                      <wp:simplePos x="0" y="0"/>
                      <wp:positionH relativeFrom="margin">
                        <wp:posOffset>2327275</wp:posOffset>
                      </wp:positionH>
                      <wp:positionV relativeFrom="paragraph">
                        <wp:posOffset>635</wp:posOffset>
                      </wp:positionV>
                      <wp:extent cx="387985" cy="372110"/>
                      <wp:effectExtent l="0" t="0" r="0" b="9525"/>
                      <wp:wrapThrough wrapText="bothSides">
                        <wp:wrapPolygon edited="0">
                          <wp:start x="1062" y="0"/>
                          <wp:lineTo x="0" y="1108"/>
                          <wp:lineTo x="0" y="13292"/>
                          <wp:lineTo x="4249" y="17723"/>
                          <wp:lineTo x="6374" y="21046"/>
                          <wp:lineTo x="12748" y="21046"/>
                          <wp:lineTo x="16997" y="17723"/>
                          <wp:lineTo x="20184" y="11077"/>
                          <wp:lineTo x="20184" y="1108"/>
                          <wp:lineTo x="19121" y="0"/>
                          <wp:lineTo x="1062" y="0"/>
                        </wp:wrapPolygon>
                      </wp:wrapThrough>
                      <wp:docPr id="4" name="Google Shape;640;p39"/>
                      <wp:cNvGraphicFramePr/>
                      <a:graphic xmlns:a="http://schemas.openxmlformats.org/drawingml/2006/main">
                        <a:graphicData uri="http://schemas.microsoft.com/office/word/2010/wordprocessingGroup">
                          <wpg:wgp>
                            <wpg:cNvGrpSpPr/>
                            <wpg:grpSpPr>
                              <a:xfrm>
                                <a:off x="0" y="0"/>
                                <a:ext cx="387360" cy="371520"/>
                                <a:chOff x="0" y="0"/>
                                <a:chExt cx="0" cy="0"/>
                              </a:xfrm>
                            </wpg:grpSpPr>
                            <wps:wsp>
                              <wps:cNvPr id="3" name="Freeform: Shape 3"/>
                              <wps:cNvSpPr/>
                              <wps:spPr>
                                <a:xfrm>
                                  <a:off x="24840" y="178560"/>
                                  <a:ext cx="75600" cy="71640"/>
                                </a:xfrm>
                                <a:custGeom>
                                  <a:avLst/>
                                  <a:gdLst/>
                                  <a:ahLst/>
                                  <a:cxnLst/>
                                  <a:rect l="l" t="t" r="r" b="b"/>
                                  <a:pathLst>
                                    <a:path w="82278" h="80962">
                                      <a:moveTo>
                                        <a:pt x="61085" y="47625"/>
                                      </a:moveTo>
                                      <a:lnTo>
                                        <a:pt x="77278" y="31432"/>
                                      </a:lnTo>
                                      <a:cubicBezTo>
                                        <a:pt x="80135" y="28575"/>
                                        <a:pt x="81088" y="25717"/>
                                        <a:pt x="82040" y="21907"/>
                                      </a:cubicBezTo>
                                      <a:cubicBezTo>
                                        <a:pt x="82993" y="16192"/>
                                        <a:pt x="81088" y="10478"/>
                                        <a:pt x="76325" y="5715"/>
                                      </a:cubicBezTo>
                                      <a:cubicBezTo>
                                        <a:pt x="73468" y="2857"/>
                                        <a:pt x="70610" y="1905"/>
                                        <a:pt x="66800" y="953"/>
                                      </a:cubicBezTo>
                                      <a:cubicBezTo>
                                        <a:pt x="64895" y="953"/>
                                        <a:pt x="63943" y="0"/>
                                        <a:pt x="62038" y="0"/>
                                      </a:cubicBezTo>
                                      <a:cubicBezTo>
                                        <a:pt x="57275" y="0"/>
                                        <a:pt x="53465" y="1905"/>
                                        <a:pt x="49655" y="4763"/>
                                      </a:cubicBezTo>
                                      <a:lnTo>
                                        <a:pt x="24890" y="29528"/>
                                      </a:lnTo>
                                      <a:lnTo>
                                        <a:pt x="4888" y="49530"/>
                                      </a:lnTo>
                                      <a:cubicBezTo>
                                        <a:pt x="-1780" y="56197"/>
                                        <a:pt x="-1780" y="68580"/>
                                        <a:pt x="5840" y="75248"/>
                                      </a:cubicBezTo>
                                      <a:cubicBezTo>
                                        <a:pt x="9650" y="79057"/>
                                        <a:pt x="14413" y="80963"/>
                                        <a:pt x="19175" y="80963"/>
                                      </a:cubicBezTo>
                                      <a:cubicBezTo>
                                        <a:pt x="23938" y="80963"/>
                                        <a:pt x="27748" y="79057"/>
                                        <a:pt x="31558" y="76200"/>
                                      </a:cubicBezTo>
                                      <a:lnTo>
                                        <a:pt x="61085" y="47625"/>
                                      </a:lnTo>
                                      <a:lnTo>
                                        <a:pt x="61085" y="47625"/>
                                      </a:lnTo>
                                      <a:close/>
                                    </a:path>
                                  </a:pathLst>
                                </a:custGeom>
                                <a:solidFill>
                                  <a:srgbClr val="2E5597"/>
                                </a:solidFill>
                                <a:ln>
                                  <a:noFill/>
                                </a:ln>
                              </wps:spPr>
                              <wps:style>
                                <a:lnRef idx="0">
                                  <a:scrgbClr r="0" g="0" b="0"/>
                                </a:lnRef>
                                <a:fillRef idx="0">
                                  <a:scrgbClr r="0" g="0" b="0"/>
                                </a:fillRef>
                                <a:effectRef idx="0">
                                  <a:scrgbClr r="0" g="0" b="0"/>
                                </a:effectRef>
                                <a:fontRef idx="minor"/>
                              </wps:style>
                              <wps:bodyPr/>
                            </wps:wsp>
                            <wps:wsp>
                              <wps:cNvPr id="5" name="Freeform: Shape 5"/>
                              <wps:cNvSpPr/>
                              <wps:spPr>
                                <a:xfrm>
                                  <a:off x="0" y="0"/>
                                  <a:ext cx="345600" cy="330840"/>
                                </a:xfrm>
                                <a:custGeom>
                                  <a:avLst/>
                                  <a:gdLst/>
                                  <a:ahLst/>
                                  <a:cxnLst/>
                                  <a:rect l="l" t="t" r="r" b="b"/>
                                  <a:pathLst>
                                    <a:path w="373618" h="373220">
                                      <a:moveTo>
                                        <a:pt x="214313" y="100806"/>
                                      </a:moveTo>
                                      <a:lnTo>
                                        <a:pt x="211455" y="103663"/>
                                      </a:lnTo>
                                      <a:lnTo>
                                        <a:pt x="176213" y="138906"/>
                                      </a:lnTo>
                                      <a:lnTo>
                                        <a:pt x="175260" y="139858"/>
                                      </a:lnTo>
                                      <a:lnTo>
                                        <a:pt x="161925" y="153193"/>
                                      </a:lnTo>
                                      <a:cubicBezTo>
                                        <a:pt x="155257" y="159861"/>
                                        <a:pt x="145733" y="163671"/>
                                        <a:pt x="136208" y="163671"/>
                                      </a:cubicBezTo>
                                      <a:cubicBezTo>
                                        <a:pt x="135255" y="163671"/>
                                        <a:pt x="134303" y="163671"/>
                                        <a:pt x="133350" y="163671"/>
                                      </a:cubicBezTo>
                                      <a:cubicBezTo>
                                        <a:pt x="133350" y="163671"/>
                                        <a:pt x="132398" y="163671"/>
                                        <a:pt x="132398" y="163671"/>
                                      </a:cubicBezTo>
                                      <a:cubicBezTo>
                                        <a:pt x="124778" y="162718"/>
                                        <a:pt x="117158" y="158908"/>
                                        <a:pt x="111443" y="153193"/>
                                      </a:cubicBezTo>
                                      <a:cubicBezTo>
                                        <a:pt x="97155" y="138906"/>
                                        <a:pt x="97155" y="116046"/>
                                        <a:pt x="111443" y="101758"/>
                                      </a:cubicBezTo>
                                      <a:lnTo>
                                        <a:pt x="188595" y="24606"/>
                                      </a:lnTo>
                                      <a:cubicBezTo>
                                        <a:pt x="190500" y="22701"/>
                                        <a:pt x="192405" y="20796"/>
                                        <a:pt x="194310" y="18891"/>
                                      </a:cubicBezTo>
                                      <a:cubicBezTo>
                                        <a:pt x="144780" y="-11589"/>
                                        <a:pt x="80010" y="-4922"/>
                                        <a:pt x="37148" y="36988"/>
                                      </a:cubicBezTo>
                                      <a:cubicBezTo>
                                        <a:pt x="-12383" y="86518"/>
                                        <a:pt x="-12383" y="167481"/>
                                        <a:pt x="37148" y="217011"/>
                                      </a:cubicBezTo>
                                      <a:lnTo>
                                        <a:pt x="38100" y="218916"/>
                                      </a:lnTo>
                                      <a:lnTo>
                                        <a:pt x="64770" y="192246"/>
                                      </a:lnTo>
                                      <a:cubicBezTo>
                                        <a:pt x="71438" y="185578"/>
                                        <a:pt x="80963" y="181768"/>
                                        <a:pt x="90488" y="181768"/>
                                      </a:cubicBezTo>
                                      <a:cubicBezTo>
                                        <a:pt x="97155" y="181768"/>
                                        <a:pt x="102870" y="183673"/>
                                        <a:pt x="108585" y="186531"/>
                                      </a:cubicBezTo>
                                      <a:cubicBezTo>
                                        <a:pt x="111443" y="188436"/>
                                        <a:pt x="114300" y="190341"/>
                                        <a:pt x="117158" y="192246"/>
                                      </a:cubicBezTo>
                                      <a:cubicBezTo>
                                        <a:pt x="121920" y="197008"/>
                                        <a:pt x="125730" y="202723"/>
                                        <a:pt x="126683" y="209391"/>
                                      </a:cubicBezTo>
                                      <a:cubicBezTo>
                                        <a:pt x="127635" y="212248"/>
                                        <a:pt x="127635" y="215106"/>
                                        <a:pt x="127635" y="217963"/>
                                      </a:cubicBezTo>
                                      <a:cubicBezTo>
                                        <a:pt x="127635" y="221773"/>
                                        <a:pt x="127635" y="224631"/>
                                        <a:pt x="126683" y="228441"/>
                                      </a:cubicBezTo>
                                      <a:cubicBezTo>
                                        <a:pt x="129540" y="227488"/>
                                        <a:pt x="133350" y="227488"/>
                                        <a:pt x="136208" y="227488"/>
                                      </a:cubicBezTo>
                                      <a:cubicBezTo>
                                        <a:pt x="146685" y="227488"/>
                                        <a:pt x="155257" y="231298"/>
                                        <a:pt x="162878" y="237966"/>
                                      </a:cubicBezTo>
                                      <a:cubicBezTo>
                                        <a:pt x="169545" y="244633"/>
                                        <a:pt x="173355" y="254158"/>
                                        <a:pt x="173355" y="263683"/>
                                      </a:cubicBezTo>
                                      <a:cubicBezTo>
                                        <a:pt x="173355" y="267493"/>
                                        <a:pt x="173355" y="270351"/>
                                        <a:pt x="172403" y="274161"/>
                                      </a:cubicBezTo>
                                      <a:cubicBezTo>
                                        <a:pt x="175260" y="273208"/>
                                        <a:pt x="179070" y="273208"/>
                                        <a:pt x="181928" y="273208"/>
                                      </a:cubicBezTo>
                                      <a:cubicBezTo>
                                        <a:pt x="192405" y="273208"/>
                                        <a:pt x="200978" y="277018"/>
                                        <a:pt x="208598" y="283686"/>
                                      </a:cubicBezTo>
                                      <a:cubicBezTo>
                                        <a:pt x="215265" y="290353"/>
                                        <a:pt x="219075" y="299878"/>
                                        <a:pt x="219075" y="309403"/>
                                      </a:cubicBezTo>
                                      <a:cubicBezTo>
                                        <a:pt x="219075" y="313213"/>
                                        <a:pt x="219075" y="316071"/>
                                        <a:pt x="218123" y="319881"/>
                                      </a:cubicBezTo>
                                      <a:cubicBezTo>
                                        <a:pt x="220980" y="318928"/>
                                        <a:pt x="224790" y="318928"/>
                                        <a:pt x="227648" y="318928"/>
                                      </a:cubicBezTo>
                                      <a:cubicBezTo>
                                        <a:pt x="238125" y="318928"/>
                                        <a:pt x="246698" y="322738"/>
                                        <a:pt x="254318" y="329406"/>
                                      </a:cubicBezTo>
                                      <a:cubicBezTo>
                                        <a:pt x="260985" y="336073"/>
                                        <a:pt x="264795" y="345598"/>
                                        <a:pt x="264795" y="355123"/>
                                      </a:cubicBezTo>
                                      <a:cubicBezTo>
                                        <a:pt x="264795" y="360838"/>
                                        <a:pt x="263843" y="366553"/>
                                        <a:pt x="261938" y="371316"/>
                                      </a:cubicBezTo>
                                      <a:cubicBezTo>
                                        <a:pt x="265748" y="372268"/>
                                        <a:pt x="268605" y="373221"/>
                                        <a:pt x="272415" y="373221"/>
                                      </a:cubicBezTo>
                                      <a:cubicBezTo>
                                        <a:pt x="279083" y="373221"/>
                                        <a:pt x="286703" y="370363"/>
                                        <a:pt x="291465" y="365601"/>
                                      </a:cubicBezTo>
                                      <a:cubicBezTo>
                                        <a:pt x="300038" y="357028"/>
                                        <a:pt x="301943" y="343693"/>
                                        <a:pt x="296228" y="333216"/>
                                      </a:cubicBezTo>
                                      <a:cubicBezTo>
                                        <a:pt x="300990" y="336073"/>
                                        <a:pt x="305753" y="337026"/>
                                        <a:pt x="310515" y="337026"/>
                                      </a:cubicBezTo>
                                      <a:cubicBezTo>
                                        <a:pt x="317183" y="337026"/>
                                        <a:pt x="324803" y="334168"/>
                                        <a:pt x="329565" y="329406"/>
                                      </a:cubicBezTo>
                                      <a:cubicBezTo>
                                        <a:pt x="339090" y="319881"/>
                                        <a:pt x="340043" y="306546"/>
                                        <a:pt x="333375" y="296068"/>
                                      </a:cubicBezTo>
                                      <a:cubicBezTo>
                                        <a:pt x="337185" y="297973"/>
                                        <a:pt x="341948" y="299878"/>
                                        <a:pt x="346710" y="299878"/>
                                      </a:cubicBezTo>
                                      <a:cubicBezTo>
                                        <a:pt x="353378" y="299878"/>
                                        <a:pt x="360998" y="297021"/>
                                        <a:pt x="365760" y="292258"/>
                                      </a:cubicBezTo>
                                      <a:cubicBezTo>
                                        <a:pt x="376238" y="281781"/>
                                        <a:pt x="376238" y="264636"/>
                                        <a:pt x="365760" y="253206"/>
                                      </a:cubicBezTo>
                                      <a:lnTo>
                                        <a:pt x="214313" y="100806"/>
                                      </a:lnTo>
                                      <a:close/>
                                    </a:path>
                                  </a:pathLst>
                                </a:custGeom>
                                <a:solidFill>
                                  <a:srgbClr val="2E5597"/>
                                </a:solidFill>
                                <a:ln>
                                  <a:noFill/>
                                </a:ln>
                              </wps:spPr>
                              <wps:style>
                                <a:lnRef idx="0">
                                  <a:scrgbClr r="0" g="0" b="0"/>
                                </a:lnRef>
                                <a:fillRef idx="0">
                                  <a:scrgbClr r="0" g="0" b="0"/>
                                </a:fillRef>
                                <a:effectRef idx="0">
                                  <a:scrgbClr r="0" g="0" b="0"/>
                                </a:effectRef>
                                <a:fontRef idx="minor"/>
                              </wps:style>
                              <wps:bodyPr/>
                            </wps:wsp>
                            <wps:wsp>
                              <wps:cNvPr id="6" name="Freeform: Shape 6"/>
                              <wps:cNvSpPr/>
                              <wps:spPr>
                                <a:xfrm>
                                  <a:off x="151920" y="299880"/>
                                  <a:ext cx="76320" cy="71640"/>
                                </a:xfrm>
                                <a:custGeom>
                                  <a:avLst/>
                                  <a:gdLst/>
                                  <a:ahLst/>
                                  <a:cxnLst/>
                                  <a:rect l="l" t="t" r="r" b="b"/>
                                  <a:pathLst>
                                    <a:path w="82278" h="81914">
                                      <a:moveTo>
                                        <a:pt x="62990" y="0"/>
                                      </a:moveTo>
                                      <a:cubicBezTo>
                                        <a:pt x="62038" y="0"/>
                                        <a:pt x="61085" y="0"/>
                                        <a:pt x="60133" y="0"/>
                                      </a:cubicBezTo>
                                      <a:cubicBezTo>
                                        <a:pt x="56323" y="952"/>
                                        <a:pt x="53465" y="1905"/>
                                        <a:pt x="50608" y="4763"/>
                                      </a:cubicBezTo>
                                      <a:lnTo>
                                        <a:pt x="4888" y="50482"/>
                                      </a:lnTo>
                                      <a:cubicBezTo>
                                        <a:pt x="-1780" y="57150"/>
                                        <a:pt x="-1780" y="69532"/>
                                        <a:pt x="5840" y="76200"/>
                                      </a:cubicBezTo>
                                      <a:cubicBezTo>
                                        <a:pt x="9650" y="80010"/>
                                        <a:pt x="14413" y="81915"/>
                                        <a:pt x="19175" y="81915"/>
                                      </a:cubicBezTo>
                                      <a:cubicBezTo>
                                        <a:pt x="23938" y="81915"/>
                                        <a:pt x="27748" y="80010"/>
                                        <a:pt x="31558" y="77152"/>
                                      </a:cubicBezTo>
                                      <a:lnTo>
                                        <a:pt x="77278" y="31432"/>
                                      </a:lnTo>
                                      <a:cubicBezTo>
                                        <a:pt x="80135" y="28575"/>
                                        <a:pt x="81088" y="25717"/>
                                        <a:pt x="82040" y="21907"/>
                                      </a:cubicBezTo>
                                      <a:cubicBezTo>
                                        <a:pt x="82993" y="16192"/>
                                        <a:pt x="81088" y="10477"/>
                                        <a:pt x="76325" y="5715"/>
                                      </a:cubicBezTo>
                                      <a:cubicBezTo>
                                        <a:pt x="72515" y="1905"/>
                                        <a:pt x="67753" y="0"/>
                                        <a:pt x="62990" y="0"/>
                                      </a:cubicBezTo>
                                      <a:close/>
                                    </a:path>
                                  </a:pathLst>
                                </a:custGeom>
                                <a:solidFill>
                                  <a:srgbClr val="2E5597"/>
                                </a:solidFill>
                                <a:ln>
                                  <a:noFill/>
                                </a:ln>
                              </wps:spPr>
                              <wps:style>
                                <a:lnRef idx="0">
                                  <a:scrgbClr r="0" g="0" b="0"/>
                                </a:lnRef>
                                <a:fillRef idx="0">
                                  <a:scrgbClr r="0" g="0" b="0"/>
                                </a:fillRef>
                                <a:effectRef idx="0">
                                  <a:scrgbClr r="0" g="0" b="0"/>
                                </a:effectRef>
                                <a:fontRef idx="minor"/>
                              </wps:style>
                              <wps:bodyPr/>
                            </wps:wsp>
                            <wps:wsp>
                              <wps:cNvPr id="7" name="Freeform: Shape 7"/>
                              <wps:cNvSpPr/>
                              <wps:spPr>
                                <a:xfrm>
                                  <a:off x="66600" y="218520"/>
                                  <a:ext cx="75600" cy="71640"/>
                                </a:xfrm>
                                <a:custGeom>
                                  <a:avLst/>
                                  <a:gdLst/>
                                  <a:ahLst/>
                                  <a:cxnLst/>
                                  <a:rect l="l" t="t" r="r" b="b"/>
                                  <a:pathLst>
                                    <a:path w="82278" h="81915">
                                      <a:moveTo>
                                        <a:pt x="82040" y="21908"/>
                                      </a:moveTo>
                                      <a:cubicBezTo>
                                        <a:pt x="82993" y="16193"/>
                                        <a:pt x="81088" y="10478"/>
                                        <a:pt x="76325" y="5715"/>
                                      </a:cubicBezTo>
                                      <a:cubicBezTo>
                                        <a:pt x="72515" y="1905"/>
                                        <a:pt x="67753" y="0"/>
                                        <a:pt x="62990" y="0"/>
                                      </a:cubicBezTo>
                                      <a:cubicBezTo>
                                        <a:pt x="62038" y="0"/>
                                        <a:pt x="61085" y="0"/>
                                        <a:pt x="60133" y="0"/>
                                      </a:cubicBezTo>
                                      <a:cubicBezTo>
                                        <a:pt x="56323" y="953"/>
                                        <a:pt x="53465" y="1905"/>
                                        <a:pt x="50608" y="4763"/>
                                      </a:cubicBezTo>
                                      <a:lnTo>
                                        <a:pt x="4888" y="50483"/>
                                      </a:lnTo>
                                      <a:cubicBezTo>
                                        <a:pt x="-1780" y="57150"/>
                                        <a:pt x="-1780" y="69532"/>
                                        <a:pt x="5840" y="76200"/>
                                      </a:cubicBezTo>
                                      <a:cubicBezTo>
                                        <a:pt x="9650" y="80010"/>
                                        <a:pt x="14413" y="81915"/>
                                        <a:pt x="19175" y="81915"/>
                                      </a:cubicBezTo>
                                      <a:cubicBezTo>
                                        <a:pt x="23938" y="81915"/>
                                        <a:pt x="27748" y="80010"/>
                                        <a:pt x="31558" y="77153"/>
                                      </a:cubicBezTo>
                                      <a:lnTo>
                                        <a:pt x="77278" y="31433"/>
                                      </a:lnTo>
                                      <a:cubicBezTo>
                                        <a:pt x="80135" y="29528"/>
                                        <a:pt x="82040" y="25718"/>
                                        <a:pt x="82040" y="21908"/>
                                      </a:cubicBezTo>
                                      <a:close/>
                                    </a:path>
                                  </a:pathLst>
                                </a:custGeom>
                                <a:solidFill>
                                  <a:srgbClr val="2E5597"/>
                                </a:solidFill>
                                <a:ln>
                                  <a:noFill/>
                                </a:ln>
                              </wps:spPr>
                              <wps:style>
                                <a:lnRef idx="0">
                                  <a:scrgbClr r="0" g="0" b="0"/>
                                </a:lnRef>
                                <a:fillRef idx="0">
                                  <a:scrgbClr r="0" g="0" b="0"/>
                                </a:fillRef>
                                <a:effectRef idx="0">
                                  <a:scrgbClr r="0" g="0" b="0"/>
                                </a:effectRef>
                                <a:fontRef idx="minor"/>
                              </wps:style>
                              <wps:bodyPr/>
                            </wps:wsp>
                            <wps:wsp>
                              <wps:cNvPr id="8" name="Freeform: Shape 8"/>
                              <wps:cNvSpPr/>
                              <wps:spPr>
                                <a:xfrm>
                                  <a:off x="109800" y="259200"/>
                                  <a:ext cx="74160" cy="71640"/>
                                </a:xfrm>
                                <a:custGeom>
                                  <a:avLst/>
                                  <a:gdLst/>
                                  <a:ahLst/>
                                  <a:cxnLst/>
                                  <a:rect l="l" t="t" r="r" b="b"/>
                                  <a:pathLst>
                                    <a:path w="81325" h="81915">
                                      <a:moveTo>
                                        <a:pt x="81088" y="21908"/>
                                      </a:moveTo>
                                      <a:cubicBezTo>
                                        <a:pt x="82040" y="16192"/>
                                        <a:pt x="80135" y="10478"/>
                                        <a:pt x="75373" y="5715"/>
                                      </a:cubicBezTo>
                                      <a:cubicBezTo>
                                        <a:pt x="71563" y="1905"/>
                                        <a:pt x="66800" y="0"/>
                                        <a:pt x="62038" y="0"/>
                                      </a:cubicBezTo>
                                      <a:cubicBezTo>
                                        <a:pt x="61085" y="0"/>
                                        <a:pt x="60133" y="0"/>
                                        <a:pt x="59180" y="0"/>
                                      </a:cubicBezTo>
                                      <a:cubicBezTo>
                                        <a:pt x="55370" y="953"/>
                                        <a:pt x="52513" y="1905"/>
                                        <a:pt x="49655" y="4763"/>
                                      </a:cubicBezTo>
                                      <a:lnTo>
                                        <a:pt x="4888" y="50483"/>
                                      </a:lnTo>
                                      <a:cubicBezTo>
                                        <a:pt x="-1780" y="57150"/>
                                        <a:pt x="-1780" y="69533"/>
                                        <a:pt x="5840" y="76200"/>
                                      </a:cubicBezTo>
                                      <a:cubicBezTo>
                                        <a:pt x="9650" y="80010"/>
                                        <a:pt x="14413" y="81915"/>
                                        <a:pt x="19175" y="81915"/>
                                      </a:cubicBezTo>
                                      <a:cubicBezTo>
                                        <a:pt x="23938" y="81915"/>
                                        <a:pt x="27748" y="80010"/>
                                        <a:pt x="31558" y="77153"/>
                                      </a:cubicBezTo>
                                      <a:lnTo>
                                        <a:pt x="77278" y="31433"/>
                                      </a:lnTo>
                                      <a:cubicBezTo>
                                        <a:pt x="79183" y="28575"/>
                                        <a:pt x="81088" y="25717"/>
                                        <a:pt x="81088" y="21908"/>
                                      </a:cubicBezTo>
                                      <a:close/>
                                    </a:path>
                                  </a:pathLst>
                                </a:custGeom>
                                <a:solidFill>
                                  <a:srgbClr val="2E5597"/>
                                </a:solidFill>
                                <a:ln>
                                  <a:noFill/>
                                </a:ln>
                              </wps:spPr>
                              <wps:style>
                                <a:lnRef idx="0">
                                  <a:scrgbClr r="0" g="0" b="0"/>
                                </a:lnRef>
                                <a:fillRef idx="0">
                                  <a:scrgbClr r="0" g="0" b="0"/>
                                </a:fillRef>
                                <a:effectRef idx="0">
                                  <a:scrgbClr r="0" g="0" b="0"/>
                                </a:effectRef>
                                <a:fontRef idx="minor"/>
                              </wps:style>
                              <wps:bodyPr/>
                            </wps:wsp>
                            <wps:wsp>
                              <wps:cNvPr id="9" name="Freeform: Shape 9"/>
                              <wps:cNvSpPr/>
                              <wps:spPr>
                                <a:xfrm>
                                  <a:off x="109800" y="0"/>
                                  <a:ext cx="277560" cy="201960"/>
                                </a:xfrm>
                                <a:custGeom>
                                  <a:avLst/>
                                  <a:gdLst/>
                                  <a:ahLst/>
                                  <a:cxnLst/>
                                  <a:rect l="l" t="t" r="r" b="b"/>
                                  <a:pathLst>
                                    <a:path w="300040" h="227647">
                                      <a:moveTo>
                                        <a:pt x="263128" y="37148"/>
                                      </a:moveTo>
                                      <a:cubicBezTo>
                                        <a:pt x="238363" y="12383"/>
                                        <a:pt x="205026" y="0"/>
                                        <a:pt x="172641" y="0"/>
                                      </a:cubicBezTo>
                                      <a:cubicBezTo>
                                        <a:pt x="156448" y="0"/>
                                        <a:pt x="140256" y="2858"/>
                                        <a:pt x="125016" y="9525"/>
                                      </a:cubicBezTo>
                                      <a:cubicBezTo>
                                        <a:pt x="112633" y="14288"/>
                                        <a:pt x="101203" y="20955"/>
                                        <a:pt x="90726" y="30480"/>
                                      </a:cubicBezTo>
                                      <a:cubicBezTo>
                                        <a:pt x="87868" y="32385"/>
                                        <a:pt x="85011" y="35243"/>
                                        <a:pt x="82153" y="38100"/>
                                      </a:cubicBezTo>
                                      <a:lnTo>
                                        <a:pt x="5001" y="115253"/>
                                      </a:lnTo>
                                      <a:cubicBezTo>
                                        <a:pt x="-1667" y="121920"/>
                                        <a:pt x="-1667" y="134303"/>
                                        <a:pt x="5001" y="140970"/>
                                      </a:cubicBezTo>
                                      <a:cubicBezTo>
                                        <a:pt x="8811" y="144780"/>
                                        <a:pt x="13573" y="146685"/>
                                        <a:pt x="17383" y="146685"/>
                                      </a:cubicBezTo>
                                      <a:cubicBezTo>
                                        <a:pt x="22146" y="146685"/>
                                        <a:pt x="26908" y="144780"/>
                                        <a:pt x="30718" y="140970"/>
                                      </a:cubicBezTo>
                                      <a:lnTo>
                                        <a:pt x="97393" y="74295"/>
                                      </a:lnTo>
                                      <a:lnTo>
                                        <a:pt x="120253" y="97155"/>
                                      </a:lnTo>
                                      <a:lnTo>
                                        <a:pt x="250746" y="227648"/>
                                      </a:lnTo>
                                      <a:cubicBezTo>
                                        <a:pt x="254556" y="224790"/>
                                        <a:pt x="258366" y="220980"/>
                                        <a:pt x="261223" y="218123"/>
                                      </a:cubicBezTo>
                                      <a:cubicBezTo>
                                        <a:pt x="312658" y="167640"/>
                                        <a:pt x="312658" y="87630"/>
                                        <a:pt x="263128" y="37148"/>
                                      </a:cubicBezTo>
                                      <a:close/>
                                    </a:path>
                                  </a:pathLst>
                                </a:custGeom>
                                <a:solidFill>
                                  <a:srgbClr val="2E5597"/>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id="shape_0" alt="Google Shape;640;p39" style="position:absolute;margin-left:183.25pt;margin-top:0pt;width:30.5pt;height:29.25pt" coordorigin="3665,0" coordsize="610,585"/>
                  </w:pict>
                </mc:Fallback>
              </mc:AlternateContent>
            </w:r>
          </w:p>
        </w:tc>
        <w:tc>
          <w:tcPr>
            <w:tcW w:w="4910" w:type="dxa"/>
            <w:tcBorders>
              <w:top w:val="nil"/>
              <w:left w:val="nil"/>
              <w:bottom w:val="nil"/>
              <w:right w:val="nil"/>
            </w:tcBorders>
          </w:tcPr>
          <w:p w14:paraId="68D80D20" w14:textId="77777777" w:rsidR="00060715" w:rsidRDefault="006771E5">
            <w:pPr>
              <w:spacing w:after="0" w:line="240" w:lineRule="auto"/>
              <w:jc w:val="both"/>
            </w:pPr>
            <w:r>
              <w:rPr>
                <w:rFonts w:eastAsia="+mn-ea" w:cs="+mn-cs"/>
                <w:b/>
                <w:bCs/>
                <w:color w:val="2F5496" w:themeColor="accent1" w:themeShade="BF"/>
                <w:kern w:val="2"/>
                <w:sz w:val="36"/>
                <w:szCs w:val="30"/>
                <w:lang w:val="en-US"/>
              </w:rPr>
              <w:t>Thank you</w:t>
            </w:r>
          </w:p>
        </w:tc>
      </w:tr>
    </w:tbl>
    <w:p w14:paraId="19515E17" w14:textId="77777777" w:rsidR="00060715" w:rsidRDefault="00060715"/>
    <w:p w14:paraId="61934FBA" w14:textId="77777777" w:rsidR="00060715" w:rsidRDefault="006771E5" w:rsidP="006E4700">
      <w:pPr>
        <w:spacing w:after="0"/>
      </w:pPr>
      <w:r>
        <w:t>Yours faithfully,</w:t>
      </w:r>
    </w:p>
    <w:p w14:paraId="6B667553" w14:textId="77777777" w:rsidR="00060715" w:rsidRDefault="006771E5" w:rsidP="006E4700">
      <w:pPr>
        <w:spacing w:after="0"/>
      </w:pPr>
      <w:r>
        <w:t>The DEFINE Team</w:t>
      </w:r>
    </w:p>
    <w:sectPr w:rsidR="00060715" w:rsidSect="006E4700">
      <w:headerReference w:type="default" r:id="rId12"/>
      <w:footerReference w:type="default" r:id="rId13"/>
      <w:pgSz w:w="11906" w:h="16838"/>
      <w:pgMar w:top="1440" w:right="1080" w:bottom="1440" w:left="108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F2996" w14:textId="77777777" w:rsidR="00F45641" w:rsidRDefault="006771E5">
      <w:pPr>
        <w:spacing w:after="0" w:line="240" w:lineRule="auto"/>
      </w:pPr>
      <w:r>
        <w:separator/>
      </w:r>
    </w:p>
  </w:endnote>
  <w:endnote w:type="continuationSeparator" w:id="0">
    <w:p w14:paraId="7E69B9E8" w14:textId="77777777" w:rsidR="00F45641" w:rsidRDefault="0067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302641"/>
      <w:docPartObj>
        <w:docPartGallery w:val="Page Numbers (Bottom of Page)"/>
        <w:docPartUnique/>
      </w:docPartObj>
    </w:sdtPr>
    <w:sdtEndPr/>
    <w:sdtContent>
      <w:p w14:paraId="695244BC" w14:textId="77777777" w:rsidR="00060715" w:rsidRDefault="006771E5">
        <w:pPr>
          <w:pStyle w:val="Footer"/>
          <w:jc w:val="right"/>
        </w:pPr>
        <w:r>
          <w:fldChar w:fldCharType="begin"/>
        </w:r>
        <w:r>
          <w:instrText>PAGE</w:instrText>
        </w:r>
        <w:r>
          <w:fldChar w:fldCharType="separate"/>
        </w:r>
        <w:r>
          <w:t>3</w:t>
        </w:r>
        <w:r>
          <w:fldChar w:fldCharType="end"/>
        </w:r>
      </w:p>
    </w:sdtContent>
  </w:sdt>
  <w:p w14:paraId="1423CC7F" w14:textId="77777777" w:rsidR="00060715" w:rsidRDefault="00060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D1CAC" w14:textId="77777777" w:rsidR="00F45641" w:rsidRDefault="006771E5">
      <w:pPr>
        <w:spacing w:after="0" w:line="240" w:lineRule="auto"/>
      </w:pPr>
      <w:r>
        <w:separator/>
      </w:r>
    </w:p>
  </w:footnote>
  <w:footnote w:type="continuationSeparator" w:id="0">
    <w:p w14:paraId="080779E0" w14:textId="77777777" w:rsidR="00F45641" w:rsidRDefault="0067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FBFBA" w14:textId="77777777" w:rsidR="00060715" w:rsidRDefault="000607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B203E"/>
    <w:multiLevelType w:val="multilevel"/>
    <w:tmpl w:val="6332FB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89368C9"/>
    <w:multiLevelType w:val="multilevel"/>
    <w:tmpl w:val="6B02AA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905B9F"/>
    <w:multiLevelType w:val="multilevel"/>
    <w:tmpl w:val="56BA7E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15"/>
    <w:rsid w:val="000220C9"/>
    <w:rsid w:val="00031565"/>
    <w:rsid w:val="00060715"/>
    <w:rsid w:val="003A3565"/>
    <w:rsid w:val="00586309"/>
    <w:rsid w:val="006771E5"/>
    <w:rsid w:val="006E4700"/>
    <w:rsid w:val="006F2C58"/>
    <w:rsid w:val="007327EE"/>
    <w:rsid w:val="00EB2A39"/>
    <w:rsid w:val="00F45641"/>
    <w:rsid w:val="00FF087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5A8D7"/>
  <w15:docId w15:val="{111C05C3-7621-4B24-B0F6-401DC0A6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1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D719D"/>
  </w:style>
  <w:style w:type="character" w:customStyle="1" w:styleId="FooterChar">
    <w:name w:val="Footer Char"/>
    <w:basedOn w:val="DefaultParagraphFont"/>
    <w:link w:val="Footer"/>
    <w:uiPriority w:val="99"/>
    <w:qFormat/>
    <w:rsid w:val="001D719D"/>
  </w:style>
  <w:style w:type="character" w:styleId="Hyperlink">
    <w:name w:val="Hyperlink"/>
    <w:basedOn w:val="DefaultParagraphFont"/>
    <w:uiPriority w:val="99"/>
    <w:unhideWhenUsed/>
    <w:rsid w:val="00F36ED2"/>
    <w:rPr>
      <w:color w:val="0563C1" w:themeColor="hyperlink"/>
      <w:u w:val="single"/>
    </w:rPr>
  </w:style>
  <w:style w:type="character" w:styleId="UnresolvedMention">
    <w:name w:val="Unresolved Mention"/>
    <w:basedOn w:val="DefaultParagraphFont"/>
    <w:uiPriority w:val="99"/>
    <w:semiHidden/>
    <w:unhideWhenUsed/>
    <w:qFormat/>
    <w:rsid w:val="00F36ED2"/>
    <w:rPr>
      <w:color w:val="605E5C"/>
      <w:shd w:val="clear" w:color="auto" w:fill="E1DFDD"/>
    </w:rPr>
  </w:style>
  <w:style w:type="character" w:styleId="CommentReference">
    <w:name w:val="annotation reference"/>
    <w:basedOn w:val="DefaultParagraphFont"/>
    <w:uiPriority w:val="99"/>
    <w:semiHidden/>
    <w:unhideWhenUsed/>
    <w:qFormat/>
    <w:rsid w:val="00501F8B"/>
    <w:rPr>
      <w:sz w:val="16"/>
      <w:szCs w:val="16"/>
    </w:rPr>
  </w:style>
  <w:style w:type="character" w:customStyle="1" w:styleId="CommentTextChar">
    <w:name w:val="Comment Text Char"/>
    <w:basedOn w:val="DefaultParagraphFont"/>
    <w:link w:val="CommentText"/>
    <w:uiPriority w:val="99"/>
    <w:semiHidden/>
    <w:qFormat/>
    <w:rsid w:val="00501F8B"/>
    <w:rPr>
      <w:sz w:val="20"/>
      <w:szCs w:val="20"/>
    </w:rPr>
  </w:style>
  <w:style w:type="character" w:customStyle="1" w:styleId="CommentSubjectChar">
    <w:name w:val="Comment Subject Char"/>
    <w:basedOn w:val="CommentTextChar"/>
    <w:link w:val="CommentSubject"/>
    <w:uiPriority w:val="99"/>
    <w:semiHidden/>
    <w:qFormat/>
    <w:rsid w:val="00501F8B"/>
    <w:rPr>
      <w:b/>
      <w:bCs/>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D719D"/>
    <w:pPr>
      <w:tabs>
        <w:tab w:val="center" w:pos="4513"/>
        <w:tab w:val="right" w:pos="9026"/>
      </w:tabs>
      <w:spacing w:after="0" w:line="240" w:lineRule="auto"/>
    </w:pPr>
  </w:style>
  <w:style w:type="paragraph" w:styleId="Footer">
    <w:name w:val="footer"/>
    <w:basedOn w:val="Normal"/>
    <w:link w:val="FooterChar"/>
    <w:uiPriority w:val="99"/>
    <w:unhideWhenUsed/>
    <w:rsid w:val="001D719D"/>
    <w:pPr>
      <w:tabs>
        <w:tab w:val="center" w:pos="4513"/>
        <w:tab w:val="right" w:pos="9026"/>
      </w:tabs>
      <w:spacing w:after="0" w:line="240" w:lineRule="auto"/>
    </w:pPr>
  </w:style>
  <w:style w:type="paragraph" w:styleId="ListParagraph">
    <w:name w:val="List Paragraph"/>
    <w:basedOn w:val="Normal"/>
    <w:uiPriority w:val="34"/>
    <w:qFormat/>
    <w:rsid w:val="008B7076"/>
    <w:pPr>
      <w:ind w:left="720"/>
      <w:contextualSpacing/>
    </w:pPr>
  </w:style>
  <w:style w:type="paragraph" w:styleId="NormalWeb">
    <w:name w:val="Normal (Web)"/>
    <w:basedOn w:val="Normal"/>
    <w:uiPriority w:val="99"/>
    <w:unhideWhenUsed/>
    <w:qFormat/>
    <w:rsid w:val="00241776"/>
    <w:pPr>
      <w:spacing w:beforeAutospacing="1" w:afterAutospacing="1" w:line="240" w:lineRule="auto"/>
    </w:pPr>
    <w:rPr>
      <w:rFonts w:ascii="Times New Roman" w:eastAsia="Times New Roman" w:hAnsi="Times New Roman" w:cs="Times New Roman"/>
      <w:sz w:val="24"/>
      <w:szCs w:val="24"/>
      <w:lang w:val="en-CA" w:eastAsia="en-CA"/>
    </w:rPr>
  </w:style>
  <w:style w:type="paragraph" w:styleId="CommentText">
    <w:name w:val="annotation text"/>
    <w:basedOn w:val="Normal"/>
    <w:link w:val="CommentTextChar"/>
    <w:uiPriority w:val="99"/>
    <w:semiHidden/>
    <w:unhideWhenUsed/>
    <w:qFormat/>
    <w:rsid w:val="00501F8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01F8B"/>
    <w:rPr>
      <w:b/>
      <w:bCs/>
    </w:rPr>
  </w:style>
  <w:style w:type="paragraph" w:customStyle="1" w:styleId="FrameContents">
    <w:name w:val="Frame Contents"/>
    <w:basedOn w:val="Normal"/>
    <w:qFormat/>
  </w:style>
  <w:style w:type="table" w:styleId="TableGrid">
    <w:name w:val="Table Grid"/>
    <w:basedOn w:val="TableNormal"/>
    <w:uiPriority w:val="39"/>
    <w:rsid w:val="0024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FINE-icrctsu@icr.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tina.Yap@icr.ac.uk" TargetMode="External"/><Relationship Id="rId4" Type="http://schemas.openxmlformats.org/officeDocument/2006/relationships/settings" Target="settings.xml"/><Relationship Id="rId9" Type="http://schemas.openxmlformats.org/officeDocument/2006/relationships/hyperlink" Target="mailto:define-icrctsu@ic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0810-1FE2-4868-B17A-716F73A4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Solovyeva</dc:creator>
  <dc:description/>
  <cp:lastModifiedBy>Aude Espinasse</cp:lastModifiedBy>
  <cp:revision>2</cp:revision>
  <dcterms:created xsi:type="dcterms:W3CDTF">2022-05-27T14:38:00Z</dcterms:created>
  <dcterms:modified xsi:type="dcterms:W3CDTF">2022-05-27T14:38:00Z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